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4D98" w14:textId="7DB9D98F" w:rsidR="00671356" w:rsidRDefault="00671356" w:rsidP="00C326FB">
      <w:pPr>
        <w:pStyle w:val="NoSpacing"/>
        <w:rPr>
          <w:b/>
          <w:bCs/>
          <w:sz w:val="48"/>
          <w:szCs w:val="48"/>
        </w:rPr>
      </w:pPr>
      <w:bookmarkStart w:id="0" w:name="_Hlk37082534"/>
    </w:p>
    <w:p w14:paraId="5DDC34FD" w14:textId="77777777" w:rsidR="00FD374F" w:rsidRDefault="00FD374F" w:rsidP="00C326FB">
      <w:pPr>
        <w:pStyle w:val="NoSpacing"/>
        <w:rPr>
          <w:b/>
          <w:bCs/>
          <w:sz w:val="48"/>
          <w:szCs w:val="48"/>
        </w:rPr>
      </w:pPr>
    </w:p>
    <w:p w14:paraId="50A55B01" w14:textId="54E0AC4A" w:rsidR="00C326FB" w:rsidRPr="00C326FB" w:rsidRDefault="00B20C77" w:rsidP="00C326FB">
      <w:pPr>
        <w:pStyle w:val="NoSpacing"/>
        <w:rPr>
          <w:b/>
          <w:bCs/>
          <w:sz w:val="48"/>
          <w:szCs w:val="48"/>
        </w:rPr>
      </w:pPr>
      <w:r>
        <w:rPr>
          <w:b/>
          <w:bCs/>
          <w:sz w:val="48"/>
          <w:szCs w:val="48"/>
        </w:rPr>
        <w:t>Monday</w:t>
      </w:r>
      <w:r w:rsidR="005043F1">
        <w:rPr>
          <w:b/>
          <w:bCs/>
          <w:sz w:val="48"/>
          <w:szCs w:val="48"/>
        </w:rPr>
        <w:t>,</w:t>
      </w:r>
      <w:r w:rsidR="00C326FB" w:rsidRPr="00C326FB">
        <w:rPr>
          <w:b/>
          <w:bCs/>
          <w:sz w:val="48"/>
          <w:szCs w:val="48"/>
        </w:rPr>
        <w:t xml:space="preserve"> </w:t>
      </w:r>
      <w:r w:rsidR="008F4A78">
        <w:rPr>
          <w:b/>
          <w:bCs/>
          <w:sz w:val="48"/>
          <w:szCs w:val="48"/>
        </w:rPr>
        <w:t>July</w:t>
      </w:r>
      <w:r w:rsidR="000733BF">
        <w:rPr>
          <w:b/>
          <w:bCs/>
          <w:sz w:val="48"/>
          <w:szCs w:val="48"/>
        </w:rPr>
        <w:t xml:space="preserve"> </w:t>
      </w:r>
      <w:r w:rsidR="00B03C3C">
        <w:rPr>
          <w:b/>
          <w:bCs/>
          <w:sz w:val="48"/>
          <w:szCs w:val="48"/>
        </w:rPr>
        <w:t>2</w:t>
      </w:r>
      <w:r w:rsidR="00065B4C">
        <w:rPr>
          <w:b/>
          <w:bCs/>
          <w:sz w:val="48"/>
          <w:szCs w:val="48"/>
        </w:rPr>
        <w:t>8</w:t>
      </w:r>
      <w:r w:rsidR="004C50BB">
        <w:rPr>
          <w:b/>
          <w:bCs/>
          <w:sz w:val="48"/>
          <w:szCs w:val="48"/>
        </w:rPr>
        <w:t xml:space="preserve"> </w:t>
      </w:r>
      <w:r w:rsidR="0025584F">
        <w:rPr>
          <w:b/>
          <w:bCs/>
          <w:sz w:val="48"/>
          <w:szCs w:val="48"/>
        </w:rPr>
        <w:t>-</w:t>
      </w:r>
      <w:r w:rsidR="00502E7A">
        <w:rPr>
          <w:b/>
          <w:bCs/>
          <w:sz w:val="48"/>
          <w:szCs w:val="48"/>
        </w:rPr>
        <w:t xml:space="preserve"> </w:t>
      </w:r>
      <w:r w:rsidR="00065B4C">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bookmarkEnd w:id="0"/>
    <w:p w14:paraId="0BFED492" w14:textId="77777777" w:rsidR="00065B4C" w:rsidRDefault="00065B4C" w:rsidP="00065B4C">
      <w:pPr>
        <w:pStyle w:val="NoSpacing"/>
        <w:rPr>
          <w:sz w:val="24"/>
          <w:szCs w:val="24"/>
          <w:bdr w:val="none" w:sz="0" w:space="0" w:color="auto" w:frame="1"/>
          <w:lang w:eastAsia="en-CA"/>
        </w:rPr>
      </w:pPr>
    </w:p>
    <w:p w14:paraId="501BCA53" w14:textId="4A3E690D" w:rsidR="00065B4C" w:rsidRDefault="00065B4C" w:rsidP="00065B4C">
      <w:pPr>
        <w:pStyle w:val="COVID-19-bodycopy"/>
        <w:rPr>
          <w:bdr w:val="none" w:sz="0" w:space="0" w:color="auto" w:frame="1"/>
        </w:rPr>
      </w:pPr>
      <w:r>
        <w:rPr>
          <w:bdr w:val="none" w:sz="0" w:space="0" w:color="auto" w:frame="1"/>
        </w:rPr>
        <w:t xml:space="preserve">The Village of </w:t>
      </w:r>
      <w:proofErr w:type="spellStart"/>
      <w:r>
        <w:rPr>
          <w:bdr w:val="none" w:sz="0" w:space="0" w:color="auto" w:frame="1"/>
        </w:rPr>
        <w:t>Tansley</w:t>
      </w:r>
      <w:proofErr w:type="spellEnd"/>
      <w:r>
        <w:rPr>
          <w:bdr w:val="none" w:sz="0" w:space="0" w:color="auto" w:frame="1"/>
        </w:rPr>
        <w:t xml:space="preserve"> Woods Long-Term Care Home has seen an additional resident test positive after 85 tests were conducted Monday among team members and residents in the two affected neighbourhoods. All other test results returned negative and the team continues to work closely with Public Health officials to identify any possible contact tracing in light of this additional case. </w:t>
      </w:r>
    </w:p>
    <w:p w14:paraId="57147F73" w14:textId="5750ED37" w:rsidR="00065B4C" w:rsidRDefault="00065B4C" w:rsidP="00065B4C">
      <w:pPr>
        <w:pStyle w:val="COVID-19-bodycopy"/>
        <w:rPr>
          <w:bdr w:val="none" w:sz="0" w:space="0" w:color="auto" w:frame="1"/>
        </w:rPr>
      </w:pPr>
      <w:r>
        <w:rPr>
          <w:bdr w:val="none" w:sz="0" w:space="0" w:color="auto" w:frame="1"/>
        </w:rPr>
        <w:t xml:space="preserve">This week we mark 500 days since the state of emergency was declared in Ontario as a result of the COVID-19 pandemic, and we take time to honour the dedication, commitment and sacrifices our teams, residents, families and partners have displayed and made these past months. All facets of the healthcare system have shown the face of resiliency, even if at times it has felt false for those on the front lines of care, for the burden has been great and the sorrow real. In the wider community, it feels as though life is returning to normal but for the caregivers of those most vulnerable, fear, worry and trauma remain. Our commitment to the emotional well being of our teams and leaders remains strong and we encourage everyone feeling the pressure of the pandemic to focus on their own well being. Please visit </w:t>
      </w:r>
      <w:hyperlink r:id="rId11" w:history="1">
        <w:r w:rsidRPr="004F30D9">
          <w:rPr>
            <w:rStyle w:val="Hyperlink"/>
            <w:bdr w:val="none" w:sz="0" w:space="0" w:color="auto" w:frame="1"/>
          </w:rPr>
          <w:t>Wellness Together Canada</w:t>
        </w:r>
      </w:hyperlink>
      <w:r>
        <w:rPr>
          <w:bdr w:val="none" w:sz="0" w:space="0" w:color="auto" w:frame="1"/>
        </w:rPr>
        <w:t xml:space="preserve"> as a starting point.</w:t>
      </w:r>
    </w:p>
    <w:p w14:paraId="486A3EFC" w14:textId="77777777" w:rsidR="00065B4C" w:rsidRDefault="00065B4C" w:rsidP="00065B4C">
      <w:pPr>
        <w:pStyle w:val="COVID-19-bodycopy"/>
        <w:rPr>
          <w:bdr w:val="none" w:sz="0" w:space="0" w:color="auto" w:frame="1"/>
        </w:rPr>
      </w:pPr>
      <w:r>
        <w:rPr>
          <w:bdr w:val="none" w:sz="0" w:space="0" w:color="auto" w:frame="1"/>
        </w:rPr>
        <w:t xml:space="preserve">Thank you. </w:t>
      </w:r>
    </w:p>
    <w:p w14:paraId="50CD1748" w14:textId="4B137849" w:rsidR="00065B4C" w:rsidRDefault="00065B4C" w:rsidP="00996B92">
      <w:pPr>
        <w:pStyle w:val="COVID-19-bodycopy"/>
        <w:rPr>
          <w:bdr w:val="none" w:sz="0" w:space="0" w:color="auto" w:frame="1"/>
        </w:rPr>
      </w:pPr>
    </w:p>
    <w:p w14:paraId="44FA6B93" w14:textId="55FDC530" w:rsidR="00065B4C" w:rsidRDefault="00065B4C" w:rsidP="00996B92">
      <w:pPr>
        <w:pStyle w:val="COVID-19-bodycopy"/>
        <w:rPr>
          <w:bdr w:val="none" w:sz="0" w:space="0" w:color="auto" w:frame="1"/>
        </w:rPr>
      </w:pPr>
    </w:p>
    <w:p w14:paraId="038293AA" w14:textId="43679056" w:rsidR="00065B4C" w:rsidRDefault="00065B4C" w:rsidP="00996B92">
      <w:pPr>
        <w:pStyle w:val="COVID-19-bodycopy"/>
        <w:rPr>
          <w:bdr w:val="none" w:sz="0" w:space="0" w:color="auto" w:frame="1"/>
        </w:rPr>
      </w:pPr>
    </w:p>
    <w:p w14:paraId="77191A31" w14:textId="190EB9AC" w:rsidR="00065B4C" w:rsidRDefault="00065B4C" w:rsidP="00996B92">
      <w:pPr>
        <w:pStyle w:val="COVID-19-bodycopy"/>
        <w:rPr>
          <w:bdr w:val="none" w:sz="0" w:space="0" w:color="auto" w:frame="1"/>
        </w:rPr>
      </w:pPr>
    </w:p>
    <w:p w14:paraId="64F5B64D" w14:textId="77777777" w:rsidR="00065B4C" w:rsidRDefault="00065B4C" w:rsidP="00996B92">
      <w:pPr>
        <w:pStyle w:val="COVID-19-bodycopy"/>
        <w:rPr>
          <w:b/>
          <w:bCs/>
          <w:sz w:val="22"/>
          <w:szCs w:val="22"/>
        </w:rPr>
      </w:pPr>
    </w:p>
    <w:p w14:paraId="785695CE" w14:textId="77777777" w:rsidR="00065B4C" w:rsidRDefault="00065B4C" w:rsidP="00996B92">
      <w:pPr>
        <w:pStyle w:val="COVID-19-bodycopy"/>
        <w:rPr>
          <w:b/>
          <w:bCs/>
          <w:sz w:val="22"/>
          <w:szCs w:val="22"/>
        </w:rPr>
      </w:pPr>
    </w:p>
    <w:p w14:paraId="115642E6" w14:textId="77777777" w:rsidR="00065B4C" w:rsidRDefault="00065B4C" w:rsidP="00996B92">
      <w:pPr>
        <w:pStyle w:val="COVID-19-bodycopy"/>
        <w:rPr>
          <w:b/>
          <w:bCs/>
          <w:sz w:val="22"/>
          <w:szCs w:val="22"/>
        </w:rPr>
      </w:pPr>
    </w:p>
    <w:p w14:paraId="05D28C66" w14:textId="77777777" w:rsidR="00065B4C" w:rsidRDefault="00065B4C" w:rsidP="00996B92">
      <w:pPr>
        <w:pStyle w:val="COVID-19-bodycopy"/>
        <w:rPr>
          <w:b/>
          <w:bCs/>
          <w:sz w:val="22"/>
          <w:szCs w:val="22"/>
        </w:rPr>
      </w:pPr>
    </w:p>
    <w:p w14:paraId="15737328" w14:textId="77777777" w:rsidR="00065B4C" w:rsidRDefault="00065B4C" w:rsidP="00996B92">
      <w:pPr>
        <w:pStyle w:val="COVID-19-bodycopy"/>
        <w:rPr>
          <w:b/>
          <w:bCs/>
          <w:sz w:val="22"/>
          <w:szCs w:val="22"/>
        </w:rPr>
      </w:pPr>
    </w:p>
    <w:p w14:paraId="187C8BA4" w14:textId="77777777" w:rsidR="00065B4C" w:rsidRDefault="00065B4C" w:rsidP="00996B92">
      <w:pPr>
        <w:pStyle w:val="COVID-19-bodycopy"/>
        <w:rPr>
          <w:b/>
          <w:bCs/>
          <w:sz w:val="22"/>
          <w:szCs w:val="22"/>
        </w:rPr>
      </w:pPr>
    </w:p>
    <w:p w14:paraId="64AAF4CE" w14:textId="77777777" w:rsidR="00065B4C" w:rsidRDefault="00065B4C" w:rsidP="00996B92">
      <w:pPr>
        <w:pStyle w:val="COVID-19-bodycopy"/>
        <w:rPr>
          <w:b/>
          <w:bCs/>
          <w:sz w:val="22"/>
          <w:szCs w:val="22"/>
        </w:rPr>
      </w:pPr>
    </w:p>
    <w:p w14:paraId="446E223E" w14:textId="77777777" w:rsidR="00065B4C" w:rsidRDefault="00065B4C" w:rsidP="00996B92">
      <w:pPr>
        <w:pStyle w:val="COVID-19-bodycopy"/>
        <w:rPr>
          <w:b/>
          <w:bCs/>
          <w:sz w:val="22"/>
          <w:szCs w:val="22"/>
        </w:rPr>
      </w:pPr>
    </w:p>
    <w:p w14:paraId="07D12660" w14:textId="6F87AF06" w:rsidR="00FD374F" w:rsidRPr="00FD374F" w:rsidRDefault="00065B4C" w:rsidP="00996B92">
      <w:pPr>
        <w:pStyle w:val="COVID-19-bodycopy"/>
        <w:rPr>
          <w:bdr w:val="none" w:sz="0" w:space="0" w:color="auto" w:frame="1"/>
        </w:rPr>
      </w:pPr>
      <w:r>
        <w:rPr>
          <w:b/>
          <w:bCs/>
          <w:sz w:val="22"/>
          <w:szCs w:val="22"/>
        </w:rPr>
        <w:t xml:space="preserve"> *V</w:t>
      </w:r>
      <w:r>
        <w:rPr>
          <w:b/>
          <w:bCs/>
          <w:sz w:val="22"/>
          <w:szCs w:val="22"/>
        </w:rPr>
        <w:t>illages with Outbreak Status</w:t>
      </w:r>
    </w:p>
    <w:p w14:paraId="2BF9F577" w14:textId="584ED54E" w:rsidR="00996B92" w:rsidRPr="009D1C67" w:rsidRDefault="00065B4C" w:rsidP="009D1C67">
      <w:pPr>
        <w:pStyle w:val="COVID-19-bodycopy"/>
        <w:rPr>
          <w:b/>
          <w:bCs/>
          <w:sz w:val="22"/>
          <w:szCs w:val="22"/>
        </w:rPr>
      </w:pPr>
      <w:r>
        <w:rPr>
          <w:noProof/>
        </w:rPr>
        <w:drawing>
          <wp:inline distT="0" distB="0" distL="0" distR="0" wp14:anchorId="541C1659" wp14:editId="3391D48A">
            <wp:extent cx="5943600" cy="17113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1711325"/>
                    </a:xfrm>
                    <a:prstGeom prst="rect">
                      <a:avLst/>
                    </a:prstGeom>
                    <a:noFill/>
                    <a:ln>
                      <a:noFill/>
                    </a:ln>
                  </pic:spPr>
                </pic:pic>
              </a:graphicData>
            </a:graphic>
          </wp:inline>
        </w:drawing>
      </w:r>
    </w:p>
    <w:p w14:paraId="0FEB832C" w14:textId="35D0744F"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4"/>
      <w:footerReference w:type="default" r:id="rId15"/>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A000" w14:textId="77777777" w:rsidR="00A431B8" w:rsidRDefault="00A431B8" w:rsidP="00120B73">
      <w:r>
        <w:separator/>
      </w:r>
    </w:p>
  </w:endnote>
  <w:endnote w:type="continuationSeparator" w:id="0">
    <w:p w14:paraId="519AE65A" w14:textId="77777777" w:rsidR="00A431B8" w:rsidRDefault="00A431B8"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A40E" w14:textId="77777777" w:rsidR="00A431B8" w:rsidRDefault="00A431B8" w:rsidP="00120B73">
      <w:r>
        <w:separator/>
      </w:r>
    </w:p>
  </w:footnote>
  <w:footnote w:type="continuationSeparator" w:id="0">
    <w:p w14:paraId="172D1963" w14:textId="77777777" w:rsidR="00A431B8" w:rsidRDefault="00A431B8"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65B4C"/>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2BFF"/>
    <w:rsid w:val="002044B5"/>
    <w:rsid w:val="00205017"/>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FDA"/>
    <w:rsid w:val="00402C00"/>
    <w:rsid w:val="00403690"/>
    <w:rsid w:val="00413F26"/>
    <w:rsid w:val="004161BB"/>
    <w:rsid w:val="004305BD"/>
    <w:rsid w:val="00430E7C"/>
    <w:rsid w:val="00433967"/>
    <w:rsid w:val="00442C63"/>
    <w:rsid w:val="00442FA0"/>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50BB"/>
    <w:rsid w:val="004C7B90"/>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71BA"/>
    <w:rsid w:val="0080293C"/>
    <w:rsid w:val="00804C61"/>
    <w:rsid w:val="008120BB"/>
    <w:rsid w:val="008127B9"/>
    <w:rsid w:val="00816356"/>
    <w:rsid w:val="0081768B"/>
    <w:rsid w:val="00824768"/>
    <w:rsid w:val="00826F08"/>
    <w:rsid w:val="00832930"/>
    <w:rsid w:val="00832A25"/>
    <w:rsid w:val="0084020A"/>
    <w:rsid w:val="008421A8"/>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5735"/>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31B8"/>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74F"/>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78391.91F751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nesstogether.ca/en-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2021-07-28T16:54:00Z</dcterms:created>
  <dcterms:modified xsi:type="dcterms:W3CDTF">2021-07-28T16:54:00Z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